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31" w:rsidRPr="002761B4" w:rsidRDefault="003A1531" w:rsidP="002F419B">
      <w:pPr>
        <w:pStyle w:val="Nzev"/>
        <w:jc w:val="left"/>
        <w:rPr>
          <w:rFonts w:ascii="Times New Roman" w:hAnsi="Times New Roman" w:cs="Times New Roman"/>
          <w:color w:val="auto"/>
          <w:sz w:val="28"/>
          <w:szCs w:val="28"/>
        </w:rPr>
      </w:pPr>
      <w:r w:rsidRPr="002761B4">
        <w:rPr>
          <w:rFonts w:ascii="Times New Roman" w:hAnsi="Times New Roman" w:cs="Times New Roman"/>
          <w:color w:val="auto"/>
          <w:sz w:val="28"/>
          <w:szCs w:val="28"/>
        </w:rPr>
        <w:t xml:space="preserve">Příloha č. </w:t>
      </w:r>
      <w:r w:rsidR="00E937FE">
        <w:rPr>
          <w:rFonts w:ascii="Times New Roman" w:hAnsi="Times New Roman" w:cs="Times New Roman"/>
          <w:color w:val="auto"/>
          <w:sz w:val="28"/>
          <w:szCs w:val="28"/>
        </w:rPr>
        <w:t>1</w:t>
      </w:r>
    </w:p>
    <w:p w:rsidR="003A1531" w:rsidRPr="002761B4" w:rsidRDefault="003A1531" w:rsidP="002F419B">
      <w:pPr>
        <w:pStyle w:val="Nzev"/>
        <w:jc w:val="left"/>
        <w:rPr>
          <w:rFonts w:ascii="Times New Roman" w:hAnsi="Times New Roman" w:cs="Times New Roman"/>
          <w:sz w:val="32"/>
          <w:szCs w:val="32"/>
        </w:rPr>
      </w:pPr>
      <w:r w:rsidRPr="002761B4">
        <w:rPr>
          <w:rFonts w:ascii="Times New Roman" w:hAnsi="Times New Roman" w:cs="Times New Roman"/>
          <w:sz w:val="32"/>
          <w:szCs w:val="32"/>
        </w:rPr>
        <w:t>O podmínkách požární bezpečnosti při provozu komínů, kouřovodů</w:t>
      </w:r>
      <w:r w:rsidR="002761B4">
        <w:rPr>
          <w:rFonts w:ascii="Times New Roman" w:hAnsi="Times New Roman" w:cs="Times New Roman"/>
          <w:sz w:val="32"/>
          <w:szCs w:val="32"/>
        </w:rPr>
        <w:t xml:space="preserve"> </w:t>
      </w:r>
      <w:r w:rsidRPr="002761B4">
        <w:rPr>
          <w:rFonts w:ascii="Times New Roman" w:hAnsi="Times New Roman" w:cs="Times New Roman"/>
          <w:sz w:val="32"/>
          <w:szCs w:val="32"/>
        </w:rPr>
        <w:t>a spotřebičů paliv</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Provoz spalinové cesty a spotřebiče paliv je nutno provádět kontrolu, čištění a revizi aby nedošlo k požáru</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Toto nařízení vlády se nevztahuje na spalinovou cestu, jejíž  součástí  je volně stojící komín o vnitřním průměru komínového průduchu 800 mm a větší nebo o stavební výšce 60 m a větší, a na spotřebič paliv o jmenovitém výkonu nad 1 MW.</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Kontrolu spalinové cesty provádí odborně způsobilá osoba, kterou je držitel živnostenského oprávnění v oboru kominictví.</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Kontrola spalinové cesty se provádí posouzením komína, zejména z hlediska jeho požární bezpečnosti a provozuschopnosti a posouzením jejího stavebně technického stavu.</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Čištění spalinové cesty slouží  pro odtah spalin od spotřebiče na pevná paliva o jmenovitém výkonu do 50 kW včetně je  možné provádět svépomocí.</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Spalinovou cestu, na kterou je připojen  spotřebič paliv která nebyla  v provozu od předchozí kontroly a čištění déle, než je doba vyplývající za lhůt čištění spalinové cesty, není nutné do jejího opětovného uvedení do provozu kontrolovat a čistit, kontrola a čištění spalinové cesty se provede před opětovným uvedením spotřebiče paliv do provozu.</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U nepoužívaného komína, který je v ústí zabezpečen proti vnikání dešťové vody a je v místech připojení  spotřebiče paliv řádně označen tabulkou  s nápisem ,,Mimo   provoz“ nebo jiným vhodným způsobem, se kontrola a čištění neprovádí.</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Revize spalinové cesty se provádí: Před uvedením spalinové cesty do provozu nebo po každé stavební úpravě komína, při změně druhu paliva připojeného spotřebiče paliv,před výměnou nebo novou instalací spotřebiče paliv,po komínovém požáru, při vzniku trhlin ve spalinové cestě , jakož   i při vzniku podezření na výskyt trhlin ve spalinové cestě.</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O provedené kontrole anebo čištění spalinové cesty vydá odborně způsobilá osoba písemnou zprávu.</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O revizi spalinové cesty vydá odborně způsobilá osoba písemnou zprávu.</w:t>
      </w:r>
    </w:p>
    <w:p w:rsidR="003A1531" w:rsidRPr="002761B4" w:rsidRDefault="003A1531">
      <w:pPr>
        <w:pStyle w:val="Odstavecseseznamem"/>
        <w:numPr>
          <w:ilvl w:val="0"/>
          <w:numId w:val="1"/>
        </w:numPr>
        <w:rPr>
          <w:rFonts w:ascii="Times New Roman" w:hAnsi="Times New Roman" w:cs="Times New Roman"/>
        </w:rPr>
      </w:pPr>
      <w:r w:rsidRPr="002761B4">
        <w:rPr>
          <w:rFonts w:ascii="Times New Roman" w:hAnsi="Times New Roman" w:cs="Times New Roman"/>
        </w:rPr>
        <w:t>Komín se smí vypalovat pouze tehdy, pokud není možné odstranit pevné usazeniny spalin jiným způsobem, za předpokladu, že komín je odolný proti účinkům hoření, a nedojde-li vypalováním k narušení účelu, kterému má komín sloužit.</w:t>
      </w:r>
    </w:p>
    <w:p w:rsidR="003A1531" w:rsidRPr="002761B4" w:rsidRDefault="003A1531" w:rsidP="002F419B">
      <w:pPr>
        <w:pStyle w:val="Odstavecseseznamem"/>
        <w:numPr>
          <w:ilvl w:val="0"/>
          <w:numId w:val="1"/>
        </w:numPr>
        <w:rPr>
          <w:rFonts w:ascii="Times New Roman" w:hAnsi="Times New Roman" w:cs="Times New Roman"/>
        </w:rPr>
      </w:pPr>
      <w:r w:rsidRPr="002761B4">
        <w:rPr>
          <w:rFonts w:ascii="Times New Roman" w:hAnsi="Times New Roman" w:cs="Times New Roman"/>
        </w:rPr>
        <w:t>Komín může vypalovat pouze odborně způsobilá osoba, kterou je  držitel   živnostenského oprávnění v oboru kominictví nebo revizní technik komínů, a to za pomoci další k tomu způsobilé osoby.</w:t>
      </w:r>
    </w:p>
    <w:p w:rsidR="003A1531" w:rsidRPr="002761B4" w:rsidRDefault="003A1531">
      <w:pPr>
        <w:pStyle w:val="Vchoz"/>
        <w:rPr>
          <w:rFonts w:ascii="Times New Roman" w:hAnsi="Times New Roman" w:cs="Times New Roman"/>
        </w:rPr>
      </w:pPr>
    </w:p>
    <w:p w:rsidR="003A1531" w:rsidRDefault="003A1531">
      <w:pPr>
        <w:pStyle w:val="Vchoz"/>
        <w:rPr>
          <w:rFonts w:ascii="Times New Roman" w:hAnsi="Times New Roman" w:cs="Times New Roman"/>
        </w:rPr>
      </w:pPr>
    </w:p>
    <w:p w:rsidR="002761B4" w:rsidRPr="002761B4" w:rsidRDefault="002761B4">
      <w:pPr>
        <w:pStyle w:val="Vchoz"/>
        <w:rPr>
          <w:rFonts w:ascii="Times New Roman" w:hAnsi="Times New Roman" w:cs="Times New Roman"/>
        </w:rPr>
      </w:pPr>
    </w:p>
    <w:tbl>
      <w:tblPr>
        <w:tblW w:w="0" w:type="auto"/>
        <w:tblInd w:w="-8" w:type="dxa"/>
        <w:tblCellMar>
          <w:left w:w="10" w:type="dxa"/>
          <w:right w:w="10" w:type="dxa"/>
        </w:tblCellMar>
        <w:tblLook w:val="0000"/>
      </w:tblPr>
      <w:tblGrid>
        <w:gridCol w:w="1234"/>
        <w:gridCol w:w="1651"/>
        <w:gridCol w:w="1406"/>
        <w:gridCol w:w="1416"/>
        <w:gridCol w:w="1733"/>
        <w:gridCol w:w="1780"/>
      </w:tblGrid>
      <w:tr w:rsidR="003A1531" w:rsidRPr="002761B4">
        <w:trPr>
          <w:trHeight w:val="810"/>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Výkon připojeného spotřebiče paliv</w:t>
            </w: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Činnost</w:t>
            </w:r>
          </w:p>
        </w:tc>
        <w:tc>
          <w:tcPr>
            <w:tcW w:w="4447" w:type="dxa"/>
            <w:gridSpan w:val="4"/>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Druh paliva připojeného spotřebiče paliv</w:t>
            </w:r>
          </w:p>
        </w:tc>
      </w:tr>
      <w:tr w:rsidR="003A1531" w:rsidRPr="002761B4">
        <w:trPr>
          <w:trHeight w:val="420"/>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5744" w:type="dxa"/>
            <w:gridSpan w:val="2"/>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b/>
                <w:bCs/>
                <w:sz w:val="24"/>
                <w:szCs w:val="24"/>
              </w:rPr>
            </w:pPr>
            <w:r w:rsidRPr="002761B4">
              <w:rPr>
                <w:rFonts w:ascii="Times New Roman" w:hAnsi="Times New Roman" w:cs="Times New Roman"/>
                <w:b/>
                <w:bCs/>
                <w:sz w:val="24"/>
                <w:szCs w:val="24"/>
              </w:rPr>
              <w:t>Pevné</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sz w:val="24"/>
                <w:szCs w:val="24"/>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b/>
                <w:bCs/>
                <w:sz w:val="24"/>
                <w:szCs w:val="24"/>
              </w:rPr>
              <w:t>Kapalné</w:t>
            </w:r>
          </w:p>
        </w:tc>
        <w:tc>
          <w:tcPr>
            <w:tcW w:w="7412"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b/>
                <w:bCs/>
                <w:sz w:val="24"/>
                <w:szCs w:val="24"/>
              </w:rPr>
            </w:pPr>
            <w:r w:rsidRPr="002761B4">
              <w:rPr>
                <w:rFonts w:ascii="Times New Roman" w:hAnsi="Times New Roman" w:cs="Times New Roman"/>
                <w:b/>
                <w:bCs/>
                <w:sz w:val="24"/>
                <w:szCs w:val="24"/>
              </w:rPr>
              <w:t>Plynné</w:t>
            </w:r>
          </w:p>
        </w:tc>
      </w:tr>
      <w:tr w:rsidR="003A1531" w:rsidRPr="002761B4">
        <w:trPr>
          <w:trHeight w:val="435"/>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443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Celoroční provoz</w:t>
            </w:r>
          </w:p>
        </w:tc>
        <w:tc>
          <w:tcPr>
            <w:tcW w:w="574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Sezónní provoz</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8895"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r>
      <w:tr w:rsidR="003A1531" w:rsidRPr="002761B4">
        <w:trPr>
          <w:trHeight w:val="585"/>
        </w:trPr>
        <w:tc>
          <w:tcPr>
            <w:tcW w:w="1559" w:type="dxa"/>
            <w:tcMar>
              <w:top w:w="0" w:type="dxa"/>
              <w:left w:w="70" w:type="dxa"/>
              <w:bottom w:w="0" w:type="dxa"/>
              <w:right w:w="70" w:type="dxa"/>
            </w:tcMar>
          </w:tcPr>
          <w:p w:rsidR="003A1531" w:rsidRPr="002761B4" w:rsidRDefault="003A1531" w:rsidP="002F419B">
            <w:pPr>
              <w:pStyle w:val="Vchoz"/>
              <w:jc w:val="center"/>
              <w:rPr>
                <w:rFonts w:ascii="Times New Roman" w:hAnsi="Times New Roman" w:cs="Times New Roman"/>
                <w:b/>
                <w:bCs/>
                <w:sz w:val="28"/>
                <w:szCs w:val="28"/>
              </w:rPr>
            </w:pPr>
            <w:r w:rsidRPr="002761B4">
              <w:rPr>
                <w:rFonts w:ascii="Times New Roman" w:hAnsi="Times New Roman" w:cs="Times New Roman"/>
                <w:b/>
                <w:bCs/>
                <w:sz w:val="28"/>
                <w:szCs w:val="28"/>
              </w:rPr>
              <w:t>Do 50 kW</w:t>
            </w:r>
          </w:p>
          <w:p w:rsidR="003A1531" w:rsidRPr="002761B4" w:rsidRDefault="003A1531" w:rsidP="009D6C48">
            <w:pPr>
              <w:pStyle w:val="Vchoz"/>
              <w:jc w:val="center"/>
              <w:rPr>
                <w:rFonts w:ascii="Times New Roman" w:hAnsi="Times New Roman" w:cs="Times New Roman"/>
                <w:b/>
                <w:bCs/>
                <w:sz w:val="28"/>
                <w:szCs w:val="28"/>
              </w:rPr>
            </w:pPr>
            <w:r w:rsidRPr="002761B4">
              <w:rPr>
                <w:rFonts w:ascii="Times New Roman" w:hAnsi="Times New Roman" w:cs="Times New Roman"/>
                <w:b/>
                <w:bCs/>
                <w:sz w:val="28"/>
                <w:szCs w:val="28"/>
              </w:rPr>
              <w:t>výkonu</w:t>
            </w:r>
          </w:p>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Čištění spalinové cesty</w:t>
            </w:r>
          </w:p>
        </w:tc>
        <w:tc>
          <w:tcPr>
            <w:tcW w:w="443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3 krát</w:t>
            </w:r>
          </w:p>
        </w:tc>
        <w:tc>
          <w:tcPr>
            <w:tcW w:w="574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2 krát</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3 krát</w:t>
            </w:r>
          </w:p>
        </w:tc>
        <w:tc>
          <w:tcPr>
            <w:tcW w:w="8895"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1 krát</w:t>
            </w:r>
          </w:p>
        </w:tc>
      </w:tr>
      <w:tr w:rsidR="003A1531" w:rsidRPr="002761B4">
        <w:trPr>
          <w:trHeight w:val="450"/>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Kontrola spalinové cesty</w:t>
            </w:r>
          </w:p>
        </w:tc>
        <w:tc>
          <w:tcPr>
            <w:tcW w:w="5744" w:type="dxa"/>
            <w:gridSpan w:val="2"/>
            <w:tcMar>
              <w:top w:w="0" w:type="dxa"/>
              <w:left w:w="70" w:type="dxa"/>
              <w:bottom w:w="0" w:type="dxa"/>
              <w:right w:w="70" w:type="dxa"/>
            </w:tcMar>
          </w:tcPr>
          <w:p w:rsidR="003A1531" w:rsidRPr="002761B4" w:rsidRDefault="003A1531">
            <w:pPr>
              <w:pStyle w:val="Vchoz"/>
              <w:rPr>
                <w:rFonts w:ascii="Times New Roman" w:hAnsi="Times New Roman" w:cs="Times New Roman"/>
                <w:b/>
                <w:bCs/>
              </w:rPr>
            </w:pPr>
            <w:r w:rsidRPr="002761B4">
              <w:rPr>
                <w:rFonts w:ascii="Times New Roman" w:hAnsi="Times New Roman" w:cs="Times New Roman"/>
                <w:b/>
                <w:bCs/>
              </w:rPr>
              <w:t xml:space="preserve">                   1 krát</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1 krát</w:t>
            </w:r>
          </w:p>
        </w:tc>
        <w:tc>
          <w:tcPr>
            <w:tcW w:w="7412"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1 krát</w:t>
            </w:r>
          </w:p>
        </w:tc>
      </w:tr>
      <w:tr w:rsidR="003A1531" w:rsidRPr="002761B4">
        <w:trPr>
          <w:trHeight w:val="510"/>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Výběr pevných (tuhých) znečišťujících částí a kondenzátu</w:t>
            </w:r>
          </w:p>
        </w:tc>
        <w:tc>
          <w:tcPr>
            <w:tcW w:w="5744" w:type="dxa"/>
            <w:gridSpan w:val="2"/>
            <w:tcMar>
              <w:top w:w="0" w:type="dxa"/>
              <w:left w:w="70" w:type="dxa"/>
              <w:bottom w:w="0" w:type="dxa"/>
              <w:right w:w="70" w:type="dxa"/>
            </w:tcMar>
          </w:tcPr>
          <w:p w:rsidR="003A1531" w:rsidRPr="002761B4" w:rsidRDefault="003A1531">
            <w:pPr>
              <w:pStyle w:val="Vchoz"/>
              <w:rPr>
                <w:rFonts w:ascii="Times New Roman" w:hAnsi="Times New Roman" w:cs="Times New Roman"/>
              </w:rPr>
            </w:pPr>
          </w:p>
          <w:p w:rsidR="003A1531" w:rsidRPr="002761B4" w:rsidRDefault="003A1531">
            <w:pPr>
              <w:pStyle w:val="Vchoz"/>
              <w:rPr>
                <w:rFonts w:ascii="Times New Roman" w:hAnsi="Times New Roman" w:cs="Times New Roman"/>
                <w:b/>
                <w:bCs/>
              </w:rPr>
            </w:pPr>
            <w:r w:rsidRPr="002761B4">
              <w:rPr>
                <w:rFonts w:ascii="Times New Roman" w:hAnsi="Times New Roman" w:cs="Times New Roman"/>
                <w:b/>
                <w:bCs/>
              </w:rPr>
              <w:t xml:space="preserve">                 1 krát</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1 krát</w:t>
            </w:r>
          </w:p>
        </w:tc>
        <w:tc>
          <w:tcPr>
            <w:tcW w:w="7412"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b/>
                <w:bCs/>
              </w:rPr>
            </w:pPr>
            <w:r w:rsidRPr="002761B4">
              <w:rPr>
                <w:rFonts w:ascii="Times New Roman" w:hAnsi="Times New Roman" w:cs="Times New Roman"/>
                <w:b/>
                <w:bCs/>
              </w:rPr>
              <w:t>1 krát</w:t>
            </w:r>
          </w:p>
        </w:tc>
      </w:tr>
      <w:tr w:rsidR="003A1531" w:rsidRPr="002761B4">
        <w:trPr>
          <w:trHeight w:val="585"/>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sz w:val="28"/>
                <w:szCs w:val="28"/>
              </w:rPr>
            </w:pPr>
            <w:r w:rsidRPr="002761B4">
              <w:rPr>
                <w:rFonts w:ascii="Times New Roman" w:hAnsi="Times New Roman" w:cs="Times New Roman"/>
                <w:sz w:val="28"/>
                <w:szCs w:val="28"/>
              </w:rPr>
              <w:t>Nad 50 kW</w:t>
            </w:r>
          </w:p>
          <w:p w:rsidR="003A1531" w:rsidRPr="002761B4" w:rsidRDefault="003A1531" w:rsidP="009D6C48">
            <w:pPr>
              <w:pStyle w:val="Vchoz"/>
              <w:jc w:val="center"/>
              <w:rPr>
                <w:rFonts w:ascii="Times New Roman" w:hAnsi="Times New Roman" w:cs="Times New Roman"/>
                <w:b/>
                <w:bCs/>
                <w:sz w:val="28"/>
                <w:szCs w:val="28"/>
              </w:rPr>
            </w:pPr>
            <w:r w:rsidRPr="002761B4">
              <w:rPr>
                <w:rFonts w:ascii="Times New Roman" w:hAnsi="Times New Roman" w:cs="Times New Roman"/>
                <w:b/>
                <w:bCs/>
                <w:sz w:val="28"/>
                <w:szCs w:val="28"/>
              </w:rPr>
              <w:t>výkonu</w:t>
            </w: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Kontrola  a čištění   spalinové cesty</w:t>
            </w:r>
          </w:p>
          <w:p w:rsidR="003A1531" w:rsidRPr="002761B4" w:rsidRDefault="003A1531">
            <w:pPr>
              <w:pStyle w:val="Vchoz"/>
              <w:jc w:val="center"/>
              <w:rPr>
                <w:rFonts w:ascii="Times New Roman" w:hAnsi="Times New Roman" w:cs="Times New Roman"/>
              </w:rPr>
            </w:pPr>
          </w:p>
        </w:tc>
        <w:tc>
          <w:tcPr>
            <w:tcW w:w="5744" w:type="dxa"/>
            <w:gridSpan w:val="2"/>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2 krát</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1 krát</w:t>
            </w:r>
          </w:p>
        </w:tc>
        <w:tc>
          <w:tcPr>
            <w:tcW w:w="7412"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1 krát</w:t>
            </w:r>
          </w:p>
        </w:tc>
      </w:tr>
      <w:tr w:rsidR="003A1531" w:rsidRPr="002761B4">
        <w:trPr>
          <w:trHeight w:val="585"/>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Výběr pevných (tuhých) znečisťující částí a kondenzátu</w:t>
            </w:r>
          </w:p>
        </w:tc>
        <w:tc>
          <w:tcPr>
            <w:tcW w:w="5744" w:type="dxa"/>
            <w:gridSpan w:val="2"/>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2 krát</w:t>
            </w:r>
          </w:p>
        </w:tc>
        <w:tc>
          <w:tcPr>
            <w:tcW w:w="727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1 krát</w:t>
            </w:r>
          </w:p>
        </w:tc>
        <w:tc>
          <w:tcPr>
            <w:tcW w:w="7412"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1 krát</w:t>
            </w:r>
          </w:p>
        </w:tc>
      </w:tr>
      <w:tr w:rsidR="003A1531" w:rsidRPr="002761B4">
        <w:trPr>
          <w:trHeight w:val="435"/>
        </w:trPr>
        <w:tc>
          <w:tcPr>
            <w:tcW w:w="1559"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tc>
        <w:tc>
          <w:tcPr>
            <w:tcW w:w="3164" w:type="dxa"/>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Čištění spotřebiče paliva</w:t>
            </w:r>
          </w:p>
        </w:tc>
        <w:tc>
          <w:tcPr>
            <w:tcW w:w="5744" w:type="dxa"/>
            <w:gridSpan w:val="2"/>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2 krát</w:t>
            </w:r>
          </w:p>
        </w:tc>
        <w:tc>
          <w:tcPr>
            <w:tcW w:w="5930" w:type="dxa"/>
            <w:gridSpan w:val="2"/>
            <w:tcMar>
              <w:top w:w="0" w:type="dxa"/>
              <w:left w:w="70" w:type="dxa"/>
              <w:bottom w:w="0" w:type="dxa"/>
              <w:right w:w="70" w:type="dxa"/>
            </w:tcMar>
          </w:tcPr>
          <w:p w:rsidR="003A1531" w:rsidRPr="002761B4" w:rsidRDefault="003A1531">
            <w:pPr>
              <w:pStyle w:val="Vchoz"/>
              <w:jc w:val="center"/>
              <w:rPr>
                <w:rFonts w:ascii="Times New Roman" w:hAnsi="Times New Roman" w:cs="Times New Roman"/>
              </w:rPr>
            </w:pPr>
          </w:p>
          <w:p w:rsidR="003A1531" w:rsidRPr="002761B4" w:rsidRDefault="003A1531">
            <w:pPr>
              <w:pStyle w:val="Vchoz"/>
              <w:jc w:val="center"/>
              <w:rPr>
                <w:rFonts w:ascii="Times New Roman" w:hAnsi="Times New Roman" w:cs="Times New Roman"/>
              </w:rPr>
            </w:pPr>
            <w:r w:rsidRPr="002761B4">
              <w:rPr>
                <w:rFonts w:ascii="Times New Roman" w:hAnsi="Times New Roman" w:cs="Times New Roman"/>
              </w:rPr>
              <w:t>Nejméně podle návodu výrobce</w:t>
            </w:r>
          </w:p>
        </w:tc>
      </w:tr>
    </w:tbl>
    <w:p w:rsidR="003A1531" w:rsidRPr="002761B4" w:rsidRDefault="003A1531">
      <w:pPr>
        <w:pStyle w:val="Odstavecseseznamem"/>
        <w:rPr>
          <w:rFonts w:ascii="Times New Roman" w:hAnsi="Times New Roman" w:cs="Times New Roman"/>
        </w:rPr>
      </w:pPr>
    </w:p>
    <w:p w:rsidR="003A1531" w:rsidRPr="002761B4" w:rsidRDefault="003A1531">
      <w:pPr>
        <w:pStyle w:val="Vchoz"/>
        <w:rPr>
          <w:rFonts w:ascii="Times New Roman" w:hAnsi="Times New Roman" w:cs="Times New Roman"/>
        </w:rPr>
      </w:pPr>
    </w:p>
    <w:sectPr w:rsidR="003A1531" w:rsidRPr="002761B4" w:rsidSect="00E561E2">
      <w:pgSz w:w="11906" w:h="16838"/>
      <w:pgMar w:top="851" w:right="1417" w:bottom="1417" w:left="1417" w:header="708" w:footer="708" w:gutter="0"/>
      <w:cols w:space="708"/>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09" w:rsidRDefault="00E12009" w:rsidP="00DE7570">
      <w:r>
        <w:separator/>
      </w:r>
    </w:p>
  </w:endnote>
  <w:endnote w:type="continuationSeparator" w:id="0">
    <w:p w:rsidR="00E12009" w:rsidRDefault="00E12009" w:rsidP="00DE7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09" w:rsidRDefault="00E12009" w:rsidP="00DE7570">
      <w:r>
        <w:separator/>
      </w:r>
    </w:p>
  </w:footnote>
  <w:footnote w:type="continuationSeparator" w:id="0">
    <w:p w:rsidR="00E12009" w:rsidRDefault="00E12009" w:rsidP="00DE7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7EE8"/>
    <w:multiLevelType w:val="multilevel"/>
    <w:tmpl w:val="FFFFFFFF"/>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A174D21"/>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570"/>
    <w:rsid w:val="000C6F57"/>
    <w:rsid w:val="001926A9"/>
    <w:rsid w:val="00227E71"/>
    <w:rsid w:val="002761B4"/>
    <w:rsid w:val="002F419B"/>
    <w:rsid w:val="003132AC"/>
    <w:rsid w:val="003150FC"/>
    <w:rsid w:val="003A1531"/>
    <w:rsid w:val="005F1F69"/>
    <w:rsid w:val="00672F30"/>
    <w:rsid w:val="006C2143"/>
    <w:rsid w:val="00756594"/>
    <w:rsid w:val="007E2399"/>
    <w:rsid w:val="00967939"/>
    <w:rsid w:val="009D6C48"/>
    <w:rsid w:val="00AE4681"/>
    <w:rsid w:val="00CC2ACC"/>
    <w:rsid w:val="00CF2783"/>
    <w:rsid w:val="00DE7570"/>
    <w:rsid w:val="00E12009"/>
    <w:rsid w:val="00E24739"/>
    <w:rsid w:val="00E561E2"/>
    <w:rsid w:val="00E937FE"/>
    <w:rsid w:val="00EB0554"/>
    <w:rsid w:val="00FF661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4681"/>
    <w:rPr>
      <w:rFonts w:cs="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
    <w:name w:val="Výchozí"/>
    <w:uiPriority w:val="99"/>
    <w:rsid w:val="00DE7570"/>
    <w:pPr>
      <w:tabs>
        <w:tab w:val="left" w:pos="709"/>
      </w:tabs>
      <w:suppressAutoHyphens/>
      <w:spacing w:after="200" w:line="276" w:lineRule="atLeast"/>
    </w:pPr>
    <w:rPr>
      <w:rFonts w:cs="Calibri"/>
      <w:sz w:val="22"/>
      <w:szCs w:val="22"/>
      <w:lang w:eastAsia="en-US"/>
    </w:rPr>
  </w:style>
  <w:style w:type="character" w:customStyle="1" w:styleId="TextbublinyChar">
    <w:name w:val="Text bubliny Char"/>
    <w:basedOn w:val="Standardnpsmoodstavce"/>
    <w:uiPriority w:val="99"/>
    <w:rsid w:val="00DE7570"/>
  </w:style>
  <w:style w:type="character" w:customStyle="1" w:styleId="ZhlavChar">
    <w:name w:val="Záhlaví Char"/>
    <w:basedOn w:val="Standardnpsmoodstavce"/>
    <w:uiPriority w:val="99"/>
    <w:rsid w:val="00DE7570"/>
  </w:style>
  <w:style w:type="character" w:customStyle="1" w:styleId="ZpatChar">
    <w:name w:val="Zápatí Char"/>
    <w:basedOn w:val="Standardnpsmoodstavce"/>
    <w:uiPriority w:val="99"/>
    <w:rsid w:val="00DE7570"/>
  </w:style>
  <w:style w:type="character" w:customStyle="1" w:styleId="NzevChar">
    <w:name w:val="Název Char"/>
    <w:basedOn w:val="Standardnpsmoodstavce"/>
    <w:uiPriority w:val="99"/>
    <w:rsid w:val="00DE7570"/>
  </w:style>
  <w:style w:type="character" w:customStyle="1" w:styleId="ListLabel1">
    <w:name w:val="ListLabel 1"/>
    <w:uiPriority w:val="99"/>
    <w:rsid w:val="00DE7570"/>
  </w:style>
  <w:style w:type="character" w:customStyle="1" w:styleId="ListLabel2">
    <w:name w:val="ListLabel 2"/>
    <w:uiPriority w:val="99"/>
    <w:rsid w:val="00DE7570"/>
  </w:style>
  <w:style w:type="paragraph" w:customStyle="1" w:styleId="Nadpis">
    <w:name w:val="Nadpis"/>
    <w:basedOn w:val="Vchoz"/>
    <w:next w:val="Tlotextu"/>
    <w:uiPriority w:val="99"/>
    <w:rsid w:val="00DE7570"/>
    <w:pPr>
      <w:keepNext/>
      <w:spacing w:before="240" w:after="120"/>
    </w:pPr>
    <w:rPr>
      <w:rFonts w:ascii="Arial" w:hAnsi="Arial" w:cs="Arial"/>
      <w:sz w:val="28"/>
      <w:szCs w:val="28"/>
    </w:rPr>
  </w:style>
  <w:style w:type="paragraph" w:customStyle="1" w:styleId="Tlotextu">
    <w:name w:val="Tělo textu"/>
    <w:basedOn w:val="Vchoz"/>
    <w:uiPriority w:val="99"/>
    <w:rsid w:val="00DE7570"/>
    <w:pPr>
      <w:spacing w:after="120"/>
    </w:pPr>
  </w:style>
  <w:style w:type="paragraph" w:styleId="Seznam">
    <w:name w:val="List"/>
    <w:basedOn w:val="Tlotextu"/>
    <w:uiPriority w:val="99"/>
    <w:rsid w:val="00DE7570"/>
  </w:style>
  <w:style w:type="paragraph" w:customStyle="1" w:styleId="Popisek">
    <w:name w:val="Popisek"/>
    <w:basedOn w:val="Vchoz"/>
    <w:uiPriority w:val="99"/>
    <w:rsid w:val="00DE7570"/>
    <w:pPr>
      <w:suppressLineNumbers/>
      <w:spacing w:before="120" w:after="120"/>
    </w:pPr>
    <w:rPr>
      <w:i/>
      <w:iCs/>
      <w:sz w:val="24"/>
      <w:szCs w:val="24"/>
    </w:rPr>
  </w:style>
  <w:style w:type="paragraph" w:customStyle="1" w:styleId="Rejstk">
    <w:name w:val="Rejstřík"/>
    <w:basedOn w:val="Vchoz"/>
    <w:uiPriority w:val="99"/>
    <w:rsid w:val="00DE7570"/>
    <w:pPr>
      <w:suppressLineNumbers/>
    </w:pPr>
  </w:style>
  <w:style w:type="paragraph" w:styleId="Odstavecseseznamem">
    <w:name w:val="List Paragraph"/>
    <w:basedOn w:val="Vchoz"/>
    <w:uiPriority w:val="99"/>
    <w:qFormat/>
    <w:rsid w:val="00DE7570"/>
  </w:style>
  <w:style w:type="paragraph" w:styleId="Textbubliny">
    <w:name w:val="Balloon Text"/>
    <w:basedOn w:val="Vchoz"/>
    <w:link w:val="TextbublinyChar1"/>
    <w:uiPriority w:val="99"/>
    <w:semiHidden/>
    <w:rsid w:val="00DE7570"/>
  </w:style>
  <w:style w:type="character" w:customStyle="1" w:styleId="TextbublinyChar1">
    <w:name w:val="Text bubliny Char1"/>
    <w:basedOn w:val="Standardnpsmoodstavce"/>
    <w:link w:val="Textbubliny"/>
    <w:uiPriority w:val="99"/>
    <w:semiHidden/>
    <w:locked/>
    <w:rsid w:val="000C6F57"/>
    <w:rPr>
      <w:rFonts w:ascii="Times New Roman" w:hAnsi="Times New Roman" w:cs="Times New Roman"/>
      <w:sz w:val="2"/>
      <w:szCs w:val="2"/>
    </w:rPr>
  </w:style>
  <w:style w:type="paragraph" w:styleId="Zhlav">
    <w:name w:val="header"/>
    <w:basedOn w:val="Vchoz"/>
    <w:link w:val="ZhlavChar1"/>
    <w:uiPriority w:val="99"/>
    <w:rsid w:val="00DE7570"/>
    <w:pPr>
      <w:suppressLineNumbers/>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0C6F57"/>
  </w:style>
  <w:style w:type="paragraph" w:styleId="Zpat">
    <w:name w:val="footer"/>
    <w:basedOn w:val="Vchoz"/>
    <w:link w:val="ZpatChar1"/>
    <w:uiPriority w:val="99"/>
    <w:rsid w:val="00DE7570"/>
    <w:pPr>
      <w:suppressLineNumbers/>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0C6F57"/>
  </w:style>
  <w:style w:type="paragraph" w:styleId="Nzev">
    <w:name w:val="Title"/>
    <w:basedOn w:val="Vchoz"/>
    <w:next w:val="Podtitul"/>
    <w:link w:val="NzevChar1"/>
    <w:uiPriority w:val="99"/>
    <w:qFormat/>
    <w:rsid w:val="00DE7570"/>
    <w:pPr>
      <w:pBdr>
        <w:bottom w:val="single" w:sz="8" w:space="0" w:color="4F81BD"/>
      </w:pBdr>
      <w:spacing w:after="300" w:line="100" w:lineRule="atLeast"/>
      <w:jc w:val="center"/>
    </w:pPr>
    <w:rPr>
      <w:rFonts w:ascii="Cambria" w:hAnsi="Cambria" w:cs="Cambria"/>
      <w:b/>
      <w:bCs/>
      <w:color w:val="17365D"/>
      <w:spacing w:val="5"/>
      <w:sz w:val="52"/>
      <w:szCs w:val="52"/>
    </w:rPr>
  </w:style>
  <w:style w:type="character" w:customStyle="1" w:styleId="NzevChar1">
    <w:name w:val="Název Char1"/>
    <w:basedOn w:val="Standardnpsmoodstavce"/>
    <w:link w:val="Nzev"/>
    <w:uiPriority w:val="99"/>
    <w:locked/>
    <w:rsid w:val="000C6F57"/>
    <w:rPr>
      <w:rFonts w:ascii="Cambria" w:hAnsi="Cambria" w:cs="Cambria"/>
      <w:b/>
      <w:bCs/>
      <w:kern w:val="28"/>
      <w:sz w:val="32"/>
      <w:szCs w:val="32"/>
    </w:rPr>
  </w:style>
  <w:style w:type="paragraph" w:styleId="Podtitul">
    <w:name w:val="Subtitle"/>
    <w:basedOn w:val="Nadpis"/>
    <w:next w:val="Tlotextu"/>
    <w:link w:val="PodtitulChar"/>
    <w:uiPriority w:val="99"/>
    <w:qFormat/>
    <w:rsid w:val="00DE7570"/>
    <w:pPr>
      <w:jc w:val="center"/>
    </w:pPr>
    <w:rPr>
      <w:i/>
      <w:iCs/>
    </w:rPr>
  </w:style>
  <w:style w:type="character" w:customStyle="1" w:styleId="PodtitulChar">
    <w:name w:val="Podtitul Char"/>
    <w:basedOn w:val="Standardnpsmoodstavce"/>
    <w:link w:val="Podtitul"/>
    <w:uiPriority w:val="99"/>
    <w:locked/>
    <w:rsid w:val="000C6F57"/>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435</Words>
  <Characters>2573</Characters>
  <Application>Microsoft Office Word</Application>
  <DocSecurity>0</DocSecurity>
  <Lines>21</Lines>
  <Paragraphs>6</Paragraphs>
  <ScaleCrop>false</ScaleCrop>
  <Manager>Koubský</Manager>
  <Company>JSDH Hluboký Důl</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komíny</dc:title>
  <dc:subject>příloha č.4</dc:subject>
  <dc:creator>vládní nařízení</dc:creator>
  <cp:keywords/>
  <dc:description/>
  <cp:lastModifiedBy>Romana</cp:lastModifiedBy>
  <cp:revision>13</cp:revision>
  <cp:lastPrinted>2011-05-03T11:10:00Z</cp:lastPrinted>
  <dcterms:created xsi:type="dcterms:W3CDTF">2011-02-25T07:57:00Z</dcterms:created>
  <dcterms:modified xsi:type="dcterms:W3CDTF">2011-05-03T11:11:00Z</dcterms:modified>
</cp:coreProperties>
</file>